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731C3" w14:textId="007B077C" w:rsidR="00D565AC" w:rsidRPr="007029B2" w:rsidRDefault="00D565AC" w:rsidP="00D565AC">
      <w:pPr>
        <w:pStyle w:val="Clausulado-Anexo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ind w:left="357"/>
        <w:jc w:val="left"/>
      </w:pPr>
      <w:bookmarkStart w:id="0" w:name="_Toc163637935"/>
      <w:r>
        <w:t xml:space="preserve">ANEXO II- </w:t>
      </w:r>
      <w:r w:rsidRPr="007029B2">
        <w:t>DECLARACIÓN MULTIPLE DE LOS CONTRATOS FINANCIADOS CON CARGO AL</w:t>
      </w:r>
      <w:r>
        <w:t xml:space="preserve"> </w:t>
      </w:r>
      <w:r w:rsidRPr="007029B2">
        <w:t>PLAN DE RECUPERACIÓN, TRANSFORMACIÓN Y RESILIENCIA</w:t>
      </w:r>
      <w:r w:rsidRPr="007029B2">
        <w:rPr>
          <w:vertAlign w:val="superscript"/>
        </w:rPr>
        <w:t>2</w:t>
      </w:r>
      <w:bookmarkEnd w:id="0"/>
    </w:p>
    <w:p w14:paraId="78CCE3DF" w14:textId="77777777" w:rsidR="00D565AC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675"/>
      </w:tblGrid>
      <w:tr w:rsidR="00D565AC" w:rsidRPr="00432126" w14:paraId="7E0ED517" w14:textId="77777777" w:rsidTr="00E3151D">
        <w:trPr>
          <w:trHeight w:val="650"/>
          <w:tblHeader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4EE0A3" w14:textId="77777777" w:rsidR="00D565AC" w:rsidRPr="00432126" w:rsidRDefault="00D565AC" w:rsidP="00E3151D">
            <w:pPr>
              <w:pStyle w:val="Prrafo"/>
              <w:keepNext/>
              <w:keepLines/>
              <w:tabs>
                <w:tab w:val="left" w:pos="8789"/>
              </w:tabs>
              <w:spacing w:before="0" w:after="0" w:line="240" w:lineRule="auto"/>
              <w:jc w:val="center"/>
              <w:rPr>
                <w:rFonts w:cs="Arial"/>
                <w:b/>
                <w:szCs w:val="22"/>
                <w:u w:val="none"/>
                <w:lang w:eastAsia="en-US"/>
              </w:rPr>
            </w:pPr>
            <w:r w:rsidRPr="00432126">
              <w:rPr>
                <w:rFonts w:cs="Arial"/>
                <w:b/>
                <w:szCs w:val="22"/>
                <w:u w:val="none"/>
                <w:lang w:eastAsia="en-US"/>
              </w:rPr>
              <w:t>EXPEDIENTE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0CCC84" w14:textId="77777777" w:rsidR="00D565AC" w:rsidRPr="00432126" w:rsidRDefault="00D565AC" w:rsidP="00E3151D">
            <w:pPr>
              <w:pStyle w:val="Prrafo"/>
              <w:keepNext/>
              <w:keepLines/>
              <w:tabs>
                <w:tab w:val="left" w:pos="8789"/>
              </w:tabs>
              <w:spacing w:before="0" w:after="0" w:line="240" w:lineRule="auto"/>
              <w:jc w:val="center"/>
              <w:rPr>
                <w:rFonts w:cs="Arial"/>
                <w:b/>
                <w:szCs w:val="22"/>
                <w:u w:val="none"/>
                <w:lang w:eastAsia="en-US"/>
              </w:rPr>
            </w:pPr>
          </w:p>
        </w:tc>
      </w:tr>
      <w:tr w:rsidR="00D565AC" w:rsidRPr="00432126" w14:paraId="44C6D77F" w14:textId="77777777" w:rsidTr="00E3151D">
        <w:trPr>
          <w:trHeight w:val="32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DE33" w14:textId="77777777" w:rsidR="00D565AC" w:rsidRPr="00432126" w:rsidRDefault="00D565AC" w:rsidP="00E3151D">
            <w:pPr>
              <w:pStyle w:val="Prrafo"/>
              <w:keepNext/>
              <w:tabs>
                <w:tab w:val="left" w:pos="313"/>
                <w:tab w:val="left" w:pos="8789"/>
              </w:tabs>
              <w:spacing w:before="0" w:after="0" w:line="240" w:lineRule="auto"/>
              <w:jc w:val="center"/>
              <w:rPr>
                <w:rFonts w:cs="Arial"/>
                <w:b/>
                <w:szCs w:val="22"/>
                <w:u w:val="none"/>
                <w:lang w:eastAsia="en-US"/>
              </w:rPr>
            </w:pPr>
            <w:r w:rsidRPr="00432126">
              <w:rPr>
                <w:rFonts w:cs="Arial"/>
                <w:b/>
                <w:szCs w:val="22"/>
                <w:u w:val="none"/>
                <w:lang w:eastAsia="en-US"/>
              </w:rPr>
              <w:t>OBJETO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1455" w14:textId="77777777" w:rsidR="00D565AC" w:rsidRPr="00432126" w:rsidRDefault="00D565AC" w:rsidP="00E3151D">
            <w:pPr>
              <w:pStyle w:val="Prrafo"/>
              <w:keepNext/>
              <w:keepLines/>
              <w:tabs>
                <w:tab w:val="left" w:pos="8789"/>
              </w:tabs>
              <w:spacing w:before="0" w:after="0" w:line="240" w:lineRule="auto"/>
              <w:ind w:left="40"/>
              <w:rPr>
                <w:rFonts w:cs="Arial"/>
                <w:b/>
                <w:bCs/>
                <w:szCs w:val="22"/>
                <w:u w:val="none"/>
                <w:lang w:eastAsia="en-US"/>
              </w:rPr>
            </w:pPr>
            <w:r w:rsidRPr="00432126">
              <w:rPr>
                <w:rFonts w:cs="Arial"/>
                <w:b/>
                <w:bCs/>
                <w:szCs w:val="22"/>
                <w:u w:val="none"/>
                <w:lang w:eastAsia="en-US"/>
              </w:rPr>
              <w:t>SUMINISTRO DE ANALIZADORES VECTORIALES PARA EL DESARROLLO DE AMPLIFICADORES CRIOGÉNICOS DENTRO DEL PROYECTO YDEAS EN EL MARCO DEL PLAN DE RECUPERACIÓN, TRANSFORMACIÓN Y RESILIENCIA FINANCIADO POR LA UNIÓN EUROPEA NEXT GENERATION EU</w:t>
            </w:r>
          </w:p>
        </w:tc>
      </w:tr>
    </w:tbl>
    <w:p w14:paraId="1B45FC14" w14:textId="77777777" w:rsidR="00D565AC" w:rsidRPr="00432126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</w:pPr>
    </w:p>
    <w:p w14:paraId="66E4560B" w14:textId="77777777" w:rsidR="00D565AC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</w:pPr>
    </w:p>
    <w:p w14:paraId="60C5C879" w14:textId="77777777" w:rsidR="00D565AC" w:rsidRPr="00432126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  <w:color w:val="000000"/>
          <w:sz w:val="18"/>
          <w:szCs w:val="18"/>
        </w:rPr>
        <w:t xml:space="preserve">a) </w:t>
      </w:r>
      <w:r w:rsidRPr="00432126">
        <w:rPr>
          <w:rFonts w:cs="Arial"/>
          <w:b/>
          <w:bCs/>
        </w:rPr>
        <w:t>Declaración de cesión y tratamiento de datos en relación con la ejecución de actuaciones del plan de recuperación, transformación y resiliencia (PRTR) (Modelo Anexo IV.B de la Orden HFP/1030/2021, de 29 de septiembre)</w:t>
      </w:r>
    </w:p>
    <w:p w14:paraId="1EA8BA0D" w14:textId="77777777" w:rsidR="00D565AC" w:rsidRPr="007029B2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u w:val="single"/>
        </w:rPr>
      </w:pPr>
    </w:p>
    <w:p w14:paraId="49F6545F" w14:textId="713257D0" w:rsidR="00D565AC" w:rsidRPr="00171DFA" w:rsidRDefault="00D565AC" w:rsidP="00D565AC">
      <w:pPr>
        <w:autoSpaceDE w:val="0"/>
        <w:autoSpaceDN w:val="0"/>
        <w:adjustRightInd w:val="0"/>
        <w:spacing w:after="0" w:line="240" w:lineRule="auto"/>
        <w:rPr>
          <w:rFonts w:eastAsia="ArialMT" w:cs="Arial"/>
          <w:color w:val="000000"/>
        </w:rPr>
      </w:pPr>
      <w:r w:rsidRPr="007029B2">
        <w:rPr>
          <w:rFonts w:eastAsia="ArialMT" w:cs="Arial"/>
          <w:color w:val="000000"/>
        </w:rPr>
        <w:t>Don/Doña ……………………………………………………, DNI</w:t>
      </w:r>
      <w:r w:rsidRPr="007029B2">
        <w:rPr>
          <w:rFonts w:cs="Arial"/>
          <w:color w:val="000000"/>
        </w:rPr>
        <w:t>, documento equivalente o pasaporte nº</w:t>
      </w:r>
      <w:r w:rsidRPr="007029B2">
        <w:rPr>
          <w:rFonts w:eastAsia="ArialMT" w:cs="Arial"/>
          <w:color w:val="000000"/>
        </w:rPr>
        <w:t>……………………</w:t>
      </w:r>
      <w:r w:rsidRPr="007029B2">
        <w:rPr>
          <w:rFonts w:cs="Arial"/>
          <w:color w:val="000000"/>
        </w:rPr>
        <w:t xml:space="preserve">, con fecha de nacimiento </w:t>
      </w:r>
      <w:r w:rsidRPr="007029B2">
        <w:rPr>
          <w:rFonts w:eastAsia="ArialMT" w:cs="Arial"/>
          <w:color w:val="000000"/>
        </w:rPr>
        <w:t xml:space="preserve">………………. </w:t>
      </w:r>
      <w:r w:rsidRPr="007029B2">
        <w:rPr>
          <w:rFonts w:cs="Arial"/>
          <w:color w:val="000000"/>
        </w:rPr>
        <w:t xml:space="preserve">como </w:t>
      </w:r>
      <w:r w:rsidR="00432126" w:rsidRPr="007029B2">
        <w:rPr>
          <w:rFonts w:cs="Arial"/>
          <w:color w:val="000000"/>
        </w:rPr>
        <w:t>consejero delegado</w:t>
      </w:r>
      <w:r w:rsidRPr="007029B2">
        <w:rPr>
          <w:rFonts w:cs="Arial"/>
          <w:color w:val="000000"/>
        </w:rPr>
        <w:t>/Gerente/ de la entidad</w:t>
      </w:r>
      <w:r w:rsidRPr="007029B2">
        <w:rPr>
          <w:rFonts w:eastAsia="ArialMT" w:cs="Arial"/>
          <w:color w:val="000000"/>
        </w:rPr>
        <w:t>…………………………………………………………………………, con NIF……………, y</w:t>
      </w:r>
      <w:r>
        <w:rPr>
          <w:rFonts w:eastAsia="ArialMT" w:cs="Arial"/>
          <w:color w:val="000000"/>
        </w:rPr>
        <w:t xml:space="preserve"> </w:t>
      </w:r>
      <w:r w:rsidRPr="007029B2">
        <w:rPr>
          <w:rFonts w:eastAsia="ArialMT" w:cs="Arial"/>
          <w:color w:val="000000"/>
        </w:rPr>
        <w:t>domicilio</w:t>
      </w:r>
      <w:r>
        <w:rPr>
          <w:rFonts w:eastAsia="ArialMT" w:cs="Arial"/>
          <w:color w:val="000000"/>
        </w:rPr>
        <w:t xml:space="preserve"> </w:t>
      </w:r>
      <w:r w:rsidRPr="007029B2">
        <w:rPr>
          <w:rFonts w:eastAsia="ArialMT" w:cs="Arial"/>
          <w:color w:val="000000"/>
        </w:rPr>
        <w:t>fiscal</w:t>
      </w:r>
      <w:r>
        <w:rPr>
          <w:rFonts w:eastAsia="ArialMT" w:cs="Arial"/>
          <w:color w:val="000000"/>
        </w:rPr>
        <w:t xml:space="preserve"> </w:t>
      </w:r>
      <w:r w:rsidRPr="007029B2">
        <w:rPr>
          <w:rFonts w:eastAsia="ArialMT" w:cs="Arial"/>
          <w:color w:val="000000"/>
        </w:rPr>
        <w:t>en</w:t>
      </w:r>
      <w:r>
        <w:rPr>
          <w:rFonts w:eastAsia="ArialMT" w:cs="Arial"/>
          <w:color w:val="000000"/>
        </w:rPr>
        <w:t xml:space="preserve"> </w:t>
      </w:r>
      <w:r w:rsidRPr="007029B2">
        <w:rPr>
          <w:rFonts w:eastAsia="ArialMT" w:cs="Arial"/>
          <w:color w:val="000000"/>
        </w:rPr>
        <w:t>………………………………………………………………………………………… que participa como contratista/subcontrati</w:t>
      </w:r>
      <w:r w:rsidRPr="007029B2">
        <w:rPr>
          <w:rFonts w:cs="Arial"/>
          <w:color w:val="000000"/>
        </w:rPr>
        <w:t>sta en el desarrollo de actuaciones necesarias para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la consecución de los objetivos definidos en el en el desarrollo de actuaciones necesarias para la consecución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de los objetivos definidos en el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C06.I02. Movilidad segura, sostenible y conectada, declara conocer la normativa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que es de aplicación, en particular los siguientes apartados del artículo 22, del Reglamento (UE)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2021/241 del Parlamento Europeo y del Consejo, de 12 de febrero de 2021, por el que se establece el Mecanismo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de Recuperación y Resiliencia:</w:t>
      </w:r>
    </w:p>
    <w:p w14:paraId="0A0F9D94" w14:textId="77777777" w:rsidR="00D565AC" w:rsidRPr="007029B2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7029B2">
        <w:rPr>
          <w:rFonts w:cs="Arial"/>
          <w:color w:val="000000"/>
        </w:rPr>
        <w:t>1. La letra d) del apartado 2: «recabar, a efectos de auditoría y control del uso de fondos en relación con las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medidas destinadas a la ejecución de reformas y proyectos de inversión en el marco del plan de recuperación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y resiliencia, en un formato electrónico que permita realizar búsquedas y en una base de datos única, las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categorías armonizadas de datos siguientes:</w:t>
      </w:r>
    </w:p>
    <w:p w14:paraId="141CDACF" w14:textId="77777777" w:rsidR="00D565AC" w:rsidRPr="007029B2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7029B2">
        <w:rPr>
          <w:rFonts w:cs="Arial"/>
          <w:color w:val="000000"/>
        </w:rPr>
        <w:t>i. El nombre del perceptor final de los fondos;</w:t>
      </w:r>
    </w:p>
    <w:p w14:paraId="3202F8D6" w14:textId="77777777" w:rsidR="00D565AC" w:rsidRPr="007029B2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proofErr w:type="spellStart"/>
      <w:r w:rsidRPr="007029B2">
        <w:rPr>
          <w:rFonts w:cs="Arial"/>
          <w:color w:val="000000"/>
        </w:rPr>
        <w:t>ii</w:t>
      </w:r>
      <w:proofErr w:type="spellEnd"/>
      <w:r w:rsidRPr="007029B2">
        <w:rPr>
          <w:rFonts w:cs="Arial"/>
          <w:color w:val="000000"/>
        </w:rPr>
        <w:t>. el nombre del contratista y del subcontratista, cuando el perceptor final de los fondos sea un poder adjudicador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de conformidad con el Derecho de la Unión o nacional en materia de contratación pública;</w:t>
      </w:r>
    </w:p>
    <w:p w14:paraId="37110814" w14:textId="77777777" w:rsidR="00D565AC" w:rsidRPr="007029B2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proofErr w:type="spellStart"/>
      <w:r w:rsidRPr="007029B2">
        <w:rPr>
          <w:rFonts w:cs="Arial"/>
          <w:color w:val="000000"/>
        </w:rPr>
        <w:t>iii</w:t>
      </w:r>
      <w:proofErr w:type="spellEnd"/>
      <w:r w:rsidRPr="007029B2">
        <w:rPr>
          <w:rFonts w:cs="Arial"/>
          <w:color w:val="000000"/>
        </w:rPr>
        <w:t>. los nombres, apellidos y fechas de nacimiento de los titulares reales del perceptor de los fondos o del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contratista, según se define en el artículo 3, punto 6, de la Directiva (UE) 2015/849 del Parlamento Europeo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y del Consejo (26);</w:t>
      </w:r>
    </w:p>
    <w:p w14:paraId="236FB50B" w14:textId="77777777" w:rsidR="00D565AC" w:rsidRPr="007029B2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proofErr w:type="spellStart"/>
      <w:r w:rsidRPr="007029B2">
        <w:rPr>
          <w:rFonts w:cs="Arial"/>
          <w:color w:val="000000"/>
        </w:rPr>
        <w:t>iv</w:t>
      </w:r>
      <w:proofErr w:type="spellEnd"/>
      <w:r w:rsidRPr="007029B2">
        <w:rPr>
          <w:rFonts w:cs="Arial"/>
          <w:color w:val="000000"/>
        </w:rPr>
        <w:t>. una lista de medidas para la ejecución de reformas y proyectos de inversión en el marco del plan de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recuperación y resiliencia, junto con el importe total de la financiación pública de dichas medidas y que indique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la cuantía de los fondos desembolsados en el marco del Mecanismo y de otros fondos de la Unión».</w:t>
      </w:r>
    </w:p>
    <w:p w14:paraId="0F812F4E" w14:textId="77777777" w:rsidR="00D565AC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7029B2">
        <w:rPr>
          <w:rFonts w:cs="Arial"/>
          <w:color w:val="000000"/>
        </w:rPr>
        <w:t>2. Apartado 3: «Los datos personales mencionados en el apartado 2, letra d), del presente artículo solo serán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tratados por los Estados miembros y por la Comisión a los efectos y duración de la correspondiente auditoría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de la aprobación de la gestión presupuestaria y de los procedimientos de control relacionados con la utilización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de los fondos relacionados con la aplicación de los acuerdos a que se refieren los artículos 15, apartado 2, y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 xml:space="preserve">23, apartado 1. En el marco del procedimiento de </w:t>
      </w:r>
      <w:r w:rsidRPr="007029B2">
        <w:rPr>
          <w:rFonts w:cs="Arial"/>
          <w:color w:val="000000"/>
        </w:rPr>
        <w:lastRenderedPageBreak/>
        <w:t>aprobación de la gestión de la Comisión, de conformidad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con el artículo 319 del TFUE, el Mecanismo estará sujeto a la presentación de informes en el marco de la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información financiera y de rendición de cuentas integrada a que se refiere el artículo 247 del Reglamento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Financiero y, en particular, por separado, en el informe anual de gestión y rendimiento».</w:t>
      </w:r>
    </w:p>
    <w:p w14:paraId="6A0081AD" w14:textId="01E81348" w:rsidR="00D565AC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8739F4" wp14:editId="2A1BA726">
                <wp:simplePos x="0" y="0"/>
                <wp:positionH relativeFrom="column">
                  <wp:posOffset>3810</wp:posOffset>
                </wp:positionH>
                <wp:positionV relativeFrom="paragraph">
                  <wp:posOffset>71120</wp:posOffset>
                </wp:positionV>
                <wp:extent cx="3472815" cy="10795"/>
                <wp:effectExtent l="8890" t="5080" r="13970" b="12700"/>
                <wp:wrapNone/>
                <wp:docPr id="465354579" name="Conector recto de flech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2815" cy="1079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CF39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position:absolute;margin-left:.3pt;margin-top:5.6pt;width:273.45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ECjvAEAAFoDAAAOAAAAZHJzL2Uyb0RvYy54bWysU01v2zAMvQ/YfxB0Xxxny9IacXpI1126&#10;LUC7H8DIsi1MFgVSiZN/P0l1sq9bMR8ESiQfHx/p9d1psOKoiQ26WpazuRTaKWyM62r5/fnh3Y0U&#10;HMA1YNHpWp41y7vN2zfr0Vd6gT3aRpOIII6r0deyD8FXRcGq1wPwDL120dkiDRDilbqiIRgj+mCL&#10;xXz+sRiRGk+oNHN8vX9xyk3Gb1utwre2ZR2ErWXkFvJJ+dyns9isoeoIfG/URANewWIA42LRK9Q9&#10;BBAHMv9ADUYRMrZhpnAosG2N0rmH2E05/6ubpx68zr1EcdhfZeL/B6u+HrduR4m6Orkn/4jqBwuH&#10;2x5cpzOB57OPgyuTVMXoubqmpAv7HYn9+AWbGAOHgFmFU0tDgoz9iVMW+3wVW5+CUPHx/YfV4qZc&#10;SqGir5yvbpe5AlSXZE8cPmscRDJqyYHAdH3YonNxrEhlLgXHRw6JGlSXhFTZ4YOxNk/XOjHGcuVq&#10;mRMYrWmSM4UxdfutJXGEtB/5m1j8EUZ4cE0G6zU0nyY7gLEvdixu3SRPUiStH1d7bM47usgWB5hZ&#10;TsuWNuT3e87+9UtsfgIAAP//AwBQSwMEFAAGAAgAAAAhAIoPw3jaAAAABgEAAA8AAABkcnMvZG93&#10;bnJldi54bWxMjs1Og0AUhfcmvsPkmrizQ1GqIkNjjY3pktIHmDJXIDB3CDO02KfvdaXL85Nzvmw9&#10;216ccPStIwXLRQQCqXKmpVrBodw+vIDwQZPRvSNU8IMe1vntTaZT485U4GkfasEj5FOtoAlhSKX0&#10;VYNW+4UbkDj7dqPVgeVYSzPqM4/bXsZRtJJWt8QPjR7wo8Gq209WQfd4KXZds/u8+E0pD0lZTPS1&#10;Uer+bn5/AxFwDn9l+MVndMiZ6egmMl70ClbcY3cZg+A0eXpOQBzZiF9B5pn8j59fAQAA//8DAFBL&#10;AQItABQABgAIAAAAIQC2gziS/gAAAOEBAAATAAAAAAAAAAAAAAAAAAAAAABbQ29udGVudF9UeXBl&#10;c10ueG1sUEsBAi0AFAAGAAgAAAAhADj9If/WAAAAlAEAAAsAAAAAAAAAAAAAAAAALwEAAF9yZWxz&#10;Ly5yZWxzUEsBAi0AFAAGAAgAAAAhABf0QKO8AQAAWgMAAA4AAAAAAAAAAAAAAAAALgIAAGRycy9l&#10;Mm9Eb2MueG1sUEsBAi0AFAAGAAgAAAAhAIoPw3jaAAAABgEAAA8AAAAAAAAAAAAAAAAAFgQAAGRy&#10;cy9kb3ducmV2LnhtbFBLBQYAAAAABAAEAPMAAAAdBQAAAAA=&#10;" strokeweight=".25pt"/>
            </w:pict>
          </mc:Fallback>
        </mc:AlternateContent>
      </w:r>
    </w:p>
    <w:p w14:paraId="307BA87C" w14:textId="77777777" w:rsidR="00D565AC" w:rsidRPr="006D4225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18"/>
          <w:szCs w:val="18"/>
        </w:rPr>
      </w:pPr>
      <w:r w:rsidRPr="006D4225">
        <w:rPr>
          <w:rFonts w:cs="Arial"/>
          <w:color w:val="000000"/>
          <w:sz w:val="18"/>
          <w:szCs w:val="18"/>
          <w:vertAlign w:val="superscript"/>
        </w:rPr>
        <w:t>2</w:t>
      </w:r>
      <w:r w:rsidRPr="006D4225">
        <w:rPr>
          <w:rFonts w:cs="Arial"/>
          <w:color w:val="000000"/>
          <w:sz w:val="18"/>
          <w:szCs w:val="18"/>
        </w:rPr>
        <w:t>Esta declaración sólo la presentara el contratista y, en su caso los subcontratistas.</w:t>
      </w:r>
    </w:p>
    <w:p w14:paraId="12FB6056" w14:textId="77777777" w:rsidR="00D565AC" w:rsidRPr="007029B2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7029B2">
        <w:rPr>
          <w:rFonts w:cs="Arial"/>
          <w:color w:val="000000"/>
        </w:rPr>
        <w:t>Conforme al marco jurídico expuesto, manifiesta acceder a la cesión y tratamiento de los datos con los fines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expresamente relacionados en los artículos citados.</w:t>
      </w:r>
    </w:p>
    <w:p w14:paraId="50AB7B10" w14:textId="77777777" w:rsidR="00D565AC" w:rsidRPr="007029B2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14:paraId="5D9CFB03" w14:textId="77777777" w:rsidR="00D565AC" w:rsidRPr="007029B2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14:paraId="6A569900" w14:textId="77777777" w:rsidR="00D565AC" w:rsidRPr="007029B2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7029B2">
        <w:rPr>
          <w:rFonts w:cs="Arial"/>
          <w:b/>
          <w:bCs/>
          <w:color w:val="000000"/>
        </w:rPr>
        <w:t>b) Declaración de compromiso en relación con la ejecución de actuaciones del plan de recuperación,</w:t>
      </w:r>
      <w:r>
        <w:rPr>
          <w:rFonts w:cs="Arial"/>
          <w:b/>
          <w:bCs/>
          <w:color w:val="000000"/>
        </w:rPr>
        <w:t xml:space="preserve"> </w:t>
      </w:r>
      <w:r w:rsidRPr="007029B2">
        <w:rPr>
          <w:rFonts w:cs="Arial"/>
          <w:b/>
          <w:bCs/>
          <w:color w:val="000000"/>
        </w:rPr>
        <w:t>transformación y resiliencia (PRTR) (Modelo Anexo IV.C de la Orden HFP/1030/2021,</w:t>
      </w:r>
      <w:r>
        <w:rPr>
          <w:rFonts w:cs="Arial"/>
          <w:b/>
          <w:bCs/>
          <w:color w:val="000000"/>
        </w:rPr>
        <w:t xml:space="preserve"> </w:t>
      </w:r>
      <w:r w:rsidRPr="007029B2">
        <w:rPr>
          <w:rFonts w:cs="Arial"/>
          <w:b/>
          <w:bCs/>
          <w:color w:val="000000"/>
        </w:rPr>
        <w:t>de 29 de septiembre)</w:t>
      </w:r>
    </w:p>
    <w:p w14:paraId="173878F5" w14:textId="77777777" w:rsidR="00D565AC" w:rsidRPr="006D4225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7029B2">
        <w:rPr>
          <w:rFonts w:cs="Arial"/>
          <w:color w:val="000000"/>
        </w:rPr>
        <w:t>El abajo firmante manifiesta el compromiso de la persona/entidad que representa con los estándares más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exigentes en relación con el cumplimiento de las normas jurídicas, éticas y morales, adoptando las medidas</w:t>
      </w:r>
      <w:r>
        <w:rPr>
          <w:rFonts w:cs="Arial"/>
          <w:color w:val="000000"/>
        </w:rPr>
        <w:t xml:space="preserve"> </w:t>
      </w:r>
      <w:r w:rsidRPr="006D4225">
        <w:rPr>
          <w:rFonts w:cs="Arial"/>
          <w:color w:val="000000"/>
        </w:rPr>
        <w:t>necesarias para prevenir y detectar el fraude, la corrupción y los conflictos de interés, comunicando en su</w:t>
      </w:r>
      <w:r>
        <w:rPr>
          <w:rFonts w:cs="Arial"/>
          <w:color w:val="000000"/>
        </w:rPr>
        <w:t xml:space="preserve"> </w:t>
      </w:r>
      <w:r w:rsidRPr="006D4225">
        <w:rPr>
          <w:rFonts w:cs="Arial"/>
          <w:color w:val="000000"/>
        </w:rPr>
        <w:t>caso a las autoridades que proceda los incumplimientos observados.</w:t>
      </w:r>
    </w:p>
    <w:p w14:paraId="6C850E51" w14:textId="77777777" w:rsidR="00D565AC" w:rsidRPr="006D4225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D4225">
        <w:rPr>
          <w:rFonts w:cs="Arial"/>
          <w:color w:val="000000"/>
        </w:rPr>
        <w:t xml:space="preserve">Adicionalmente, atendiendo al contenido del PRTR, se compromete a respetar los principios de </w:t>
      </w:r>
      <w:r>
        <w:rPr>
          <w:rFonts w:cs="Arial"/>
          <w:color w:val="000000"/>
        </w:rPr>
        <w:t xml:space="preserve">economía </w:t>
      </w:r>
      <w:r w:rsidRPr="006D4225">
        <w:rPr>
          <w:rFonts w:cs="Arial"/>
          <w:color w:val="000000"/>
        </w:rPr>
        <w:t xml:space="preserve">circular y evitar impactos negativos significativos en el medio ambiente («DNSH» por sus siglas en inglés «dono </w:t>
      </w:r>
      <w:proofErr w:type="spellStart"/>
      <w:r w:rsidRPr="006D4225">
        <w:rPr>
          <w:rFonts w:cs="Arial"/>
          <w:color w:val="000000"/>
        </w:rPr>
        <w:t>significant</w:t>
      </w:r>
      <w:proofErr w:type="spellEnd"/>
      <w:r w:rsidRPr="006D4225">
        <w:rPr>
          <w:rFonts w:cs="Arial"/>
          <w:color w:val="000000"/>
        </w:rPr>
        <w:t xml:space="preserve"> </w:t>
      </w:r>
      <w:proofErr w:type="spellStart"/>
      <w:r w:rsidRPr="006D4225">
        <w:rPr>
          <w:rFonts w:cs="Arial"/>
          <w:color w:val="000000"/>
        </w:rPr>
        <w:t>harm</w:t>
      </w:r>
      <w:proofErr w:type="spellEnd"/>
      <w:r w:rsidRPr="006D4225">
        <w:rPr>
          <w:rFonts w:cs="Arial"/>
          <w:color w:val="000000"/>
        </w:rPr>
        <w:t>») en la ejecución de las actuaciones llevadas a cabo en el marco de dicho Plan, y manifiesta</w:t>
      </w:r>
      <w:r>
        <w:rPr>
          <w:rFonts w:cs="Arial"/>
          <w:color w:val="000000"/>
        </w:rPr>
        <w:t xml:space="preserve"> </w:t>
      </w:r>
      <w:r w:rsidRPr="006D4225">
        <w:rPr>
          <w:rFonts w:cs="Arial"/>
          <w:color w:val="000000"/>
        </w:rPr>
        <w:t>que no incurre en doble financiación y que, en su caso, no le consta riesgo de incompatibilidad con el</w:t>
      </w:r>
      <w:r>
        <w:rPr>
          <w:rFonts w:cs="Arial"/>
          <w:color w:val="000000"/>
        </w:rPr>
        <w:t xml:space="preserve"> </w:t>
      </w:r>
      <w:r w:rsidRPr="006D4225">
        <w:rPr>
          <w:rFonts w:cs="Arial"/>
          <w:color w:val="000000"/>
        </w:rPr>
        <w:t>régimen de ayudas de Estado.</w:t>
      </w:r>
    </w:p>
    <w:p w14:paraId="478325EC" w14:textId="77777777" w:rsidR="00D565AC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0D52A92D" w14:textId="77777777" w:rsidR="00D565AC" w:rsidRPr="006D4225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D4225">
        <w:rPr>
          <w:rFonts w:cs="Arial"/>
          <w:b/>
          <w:bCs/>
          <w:color w:val="000000"/>
        </w:rPr>
        <w:t xml:space="preserve">c) Acredito la inscripción en el Censo de empresarios, profesionales y retenedores de la AEAT </w:t>
      </w:r>
      <w:r w:rsidRPr="006D4225">
        <w:rPr>
          <w:rFonts w:cs="Arial"/>
          <w:color w:val="000000"/>
        </w:rPr>
        <w:t xml:space="preserve">(declaración censal 036 o 037 </w:t>
      </w:r>
      <w:r w:rsidRPr="006D4225">
        <w:rPr>
          <w:rFonts w:cs="Arial"/>
          <w:color w:val="000000"/>
          <w:vertAlign w:val="superscript"/>
        </w:rPr>
        <w:t>3</w:t>
      </w:r>
      <w:r>
        <w:rPr>
          <w:rFonts w:cs="Arial"/>
          <w:color w:val="000000"/>
        </w:rPr>
        <w:t xml:space="preserve"> </w:t>
      </w:r>
      <w:r w:rsidRPr="006D4225">
        <w:rPr>
          <w:rFonts w:cs="Arial"/>
          <w:color w:val="000000"/>
        </w:rPr>
        <w:t>o documento equivalente de las Administraciones Forales) que incluye</w:t>
      </w:r>
      <w:r>
        <w:rPr>
          <w:rFonts w:cs="Arial"/>
          <w:color w:val="000000"/>
        </w:rPr>
        <w:t xml:space="preserve"> </w:t>
      </w:r>
      <w:r w:rsidRPr="006D4225">
        <w:rPr>
          <w:rFonts w:cs="Arial"/>
          <w:color w:val="000000"/>
        </w:rPr>
        <w:t>la actividad objeto del contrato basado objeto de la propuesta de adjudicación conforme a lo previsto</w:t>
      </w:r>
      <w:r>
        <w:rPr>
          <w:rFonts w:cs="Arial"/>
          <w:color w:val="000000"/>
        </w:rPr>
        <w:t xml:space="preserve"> </w:t>
      </w:r>
      <w:r w:rsidRPr="006D4225">
        <w:rPr>
          <w:rFonts w:cs="Arial"/>
          <w:color w:val="000000"/>
        </w:rPr>
        <w:t>en el artículo 8 apartado 2 de la Orden HFP/1030/2021, de 29 de septiembre).</w:t>
      </w:r>
    </w:p>
    <w:p w14:paraId="3730E00A" w14:textId="77777777" w:rsidR="00D565AC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690FBE6A" w14:textId="77777777" w:rsidR="00D565AC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D4225">
        <w:rPr>
          <w:rFonts w:cs="Arial"/>
          <w:b/>
          <w:bCs/>
          <w:color w:val="000000"/>
        </w:rPr>
        <w:t>d) En la ejecución del presente contrato:</w:t>
      </w:r>
    </w:p>
    <w:p w14:paraId="1C08E019" w14:textId="77777777" w:rsidR="00D565AC" w:rsidRPr="006D4225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14:paraId="1B89CEAA" w14:textId="77777777" w:rsidR="00D565AC" w:rsidRPr="006D4225" w:rsidRDefault="00D565AC" w:rsidP="00D565AC">
      <w:pPr>
        <w:autoSpaceDE w:val="0"/>
        <w:autoSpaceDN w:val="0"/>
        <w:adjustRightInd w:val="0"/>
        <w:spacing w:after="0" w:line="240" w:lineRule="auto"/>
        <w:ind w:firstLine="357"/>
        <w:rPr>
          <w:rFonts w:cs="Arial"/>
          <w:color w:val="000000"/>
        </w:rPr>
      </w:pPr>
      <w:proofErr w:type="gramStart"/>
      <w:r w:rsidRPr="006D4225">
        <w:rPr>
          <w:rFonts w:cs="Arial"/>
          <w:color w:val="000000"/>
        </w:rPr>
        <w:t>( )</w:t>
      </w:r>
      <w:proofErr w:type="gramEnd"/>
      <w:r w:rsidRPr="006D4225">
        <w:rPr>
          <w:rFonts w:cs="Arial"/>
          <w:color w:val="000000"/>
        </w:rPr>
        <w:t xml:space="preserve"> </w:t>
      </w:r>
      <w:r w:rsidRPr="006D4225">
        <w:rPr>
          <w:rFonts w:cs="Arial"/>
          <w:b/>
          <w:bCs/>
          <w:color w:val="000000"/>
          <w:u w:val="single"/>
        </w:rPr>
        <w:t>NO</w:t>
      </w:r>
      <w:r w:rsidRPr="006D4225">
        <w:rPr>
          <w:rFonts w:cs="Arial"/>
          <w:color w:val="000000"/>
        </w:rPr>
        <w:t xml:space="preserve"> ESTÁ PREVISTO ACUDIR A LA SUBCONTRATACIÓN</w:t>
      </w:r>
    </w:p>
    <w:p w14:paraId="10CA1059" w14:textId="77777777" w:rsidR="00D565AC" w:rsidRPr="006D4225" w:rsidRDefault="00D565AC" w:rsidP="00D565AC">
      <w:pPr>
        <w:autoSpaceDE w:val="0"/>
        <w:autoSpaceDN w:val="0"/>
        <w:adjustRightInd w:val="0"/>
        <w:spacing w:after="0" w:line="240" w:lineRule="auto"/>
        <w:ind w:firstLine="357"/>
        <w:rPr>
          <w:rFonts w:cs="Arial"/>
          <w:color w:val="000000"/>
        </w:rPr>
      </w:pPr>
      <w:proofErr w:type="gramStart"/>
      <w:r w:rsidRPr="006D4225">
        <w:rPr>
          <w:rFonts w:cs="Arial"/>
          <w:color w:val="000000"/>
        </w:rPr>
        <w:t>( )</w:t>
      </w:r>
      <w:proofErr w:type="gramEnd"/>
      <w:r w:rsidRPr="006D4225">
        <w:rPr>
          <w:rFonts w:cs="Arial"/>
          <w:color w:val="000000"/>
        </w:rPr>
        <w:t xml:space="preserve"> </w:t>
      </w:r>
      <w:r w:rsidRPr="006D4225">
        <w:rPr>
          <w:rFonts w:cs="Arial"/>
          <w:b/>
          <w:bCs/>
          <w:color w:val="000000"/>
          <w:u w:val="single"/>
        </w:rPr>
        <w:t>SI</w:t>
      </w:r>
      <w:r w:rsidRPr="006D4225">
        <w:rPr>
          <w:rFonts w:cs="Arial"/>
          <w:color w:val="000000"/>
        </w:rPr>
        <w:t xml:space="preserve"> ESTÁ PREVISTO ACUDIR A LA SUBCONTRATACIÓN</w:t>
      </w:r>
    </w:p>
    <w:p w14:paraId="32E1EFD6" w14:textId="77777777" w:rsidR="00D565AC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18"/>
          <w:szCs w:val="18"/>
        </w:rPr>
      </w:pPr>
      <w:r w:rsidRPr="006D4225">
        <w:rPr>
          <w:rFonts w:cs="Arial"/>
          <w:color w:val="000000"/>
        </w:rPr>
        <w:t>Y en este caso, aporto las declaraciones múltiples de los subcontratistas</w:t>
      </w:r>
      <w:r>
        <w:rPr>
          <w:rFonts w:cs="Arial"/>
          <w:color w:val="000000"/>
          <w:sz w:val="18"/>
          <w:szCs w:val="18"/>
        </w:rPr>
        <w:t xml:space="preserve"> siguientes:</w:t>
      </w:r>
    </w:p>
    <w:p w14:paraId="20BAC5DA" w14:textId="77777777" w:rsidR="00D565AC" w:rsidRDefault="00D565AC" w:rsidP="00D565AC">
      <w:pPr>
        <w:pStyle w:val="Clausulado-Anexo"/>
        <w:numPr>
          <w:ilvl w:val="0"/>
          <w:numId w:val="0"/>
        </w:numPr>
        <w:jc w:val="both"/>
        <w:rPr>
          <w:rFonts w:eastAsiaTheme="minorHAnsi" w:cs="Arial"/>
          <w:i/>
          <w:iCs/>
          <w:color w:val="000000"/>
          <w:sz w:val="18"/>
          <w:szCs w:val="18"/>
          <w:lang w:eastAsia="en-US"/>
        </w:rPr>
      </w:pPr>
      <w:bookmarkStart w:id="1" w:name="_Toc163637936"/>
      <w:r>
        <w:rPr>
          <w:rFonts w:eastAsiaTheme="minorHAnsi" w:cs="Arial"/>
          <w:i/>
          <w:iCs/>
          <w:color w:val="000000"/>
          <w:sz w:val="18"/>
          <w:szCs w:val="18"/>
          <w:lang w:eastAsia="en-US"/>
        </w:rPr>
        <w:t>(Indicar empresas subcontratistas, en caso)</w:t>
      </w:r>
      <w:bookmarkEnd w:id="1"/>
    </w:p>
    <w:p w14:paraId="3844FF42" w14:textId="77777777" w:rsidR="00D565AC" w:rsidRDefault="00D565AC" w:rsidP="00D565AC">
      <w:pPr>
        <w:pStyle w:val="Clausulado-Anexo"/>
        <w:numPr>
          <w:ilvl w:val="0"/>
          <w:numId w:val="0"/>
        </w:numPr>
        <w:jc w:val="both"/>
        <w:rPr>
          <w:rFonts w:eastAsiaTheme="minorHAnsi" w:cs="Arial"/>
          <w:i/>
          <w:iCs/>
          <w:color w:val="000000"/>
          <w:sz w:val="18"/>
          <w:szCs w:val="18"/>
          <w:lang w:eastAsia="en-US"/>
        </w:rPr>
      </w:pPr>
    </w:p>
    <w:p w14:paraId="4A015042" w14:textId="77777777" w:rsidR="00D565AC" w:rsidRPr="007029B2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7029B2">
        <w:rPr>
          <w:rFonts w:cs="Arial"/>
          <w:color w:val="000000"/>
        </w:rPr>
        <w:t>……………………………..., XX de …………</w:t>
      </w:r>
      <w:r>
        <w:rPr>
          <w:rFonts w:cs="Arial"/>
          <w:color w:val="000000"/>
        </w:rPr>
        <w:t>…</w:t>
      </w:r>
      <w:r w:rsidRPr="007029B2">
        <w:rPr>
          <w:rFonts w:cs="Arial"/>
          <w:color w:val="000000"/>
        </w:rPr>
        <w:t>… de 202</w:t>
      </w:r>
      <w:r>
        <w:rPr>
          <w:rFonts w:cs="Arial"/>
          <w:color w:val="000000"/>
        </w:rPr>
        <w:t>4</w:t>
      </w:r>
    </w:p>
    <w:p w14:paraId="2F70C02E" w14:textId="77777777" w:rsidR="00D565AC" w:rsidRPr="005B2C1F" w:rsidRDefault="00D565AC" w:rsidP="00D565A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7029B2">
        <w:rPr>
          <w:rFonts w:cs="Arial"/>
          <w:color w:val="000000"/>
        </w:rPr>
        <w:t xml:space="preserve">Fdo. ……………………………………………. </w:t>
      </w:r>
    </w:p>
    <w:p w14:paraId="13897423" w14:textId="77777777" w:rsidR="00D565AC" w:rsidRPr="005B2C1F" w:rsidRDefault="00D565AC" w:rsidP="00D565AC">
      <w:pPr>
        <w:pStyle w:val="Clausulado-Anexo"/>
        <w:numPr>
          <w:ilvl w:val="0"/>
          <w:numId w:val="0"/>
        </w:numPr>
        <w:jc w:val="both"/>
        <w:rPr>
          <w:rFonts w:eastAsiaTheme="minorHAnsi" w:cs="Arial"/>
          <w:b w:val="0"/>
          <w:color w:val="000000"/>
          <w:sz w:val="22"/>
          <w:szCs w:val="22"/>
          <w:lang w:eastAsia="en-US"/>
        </w:rPr>
      </w:pPr>
      <w:bookmarkStart w:id="2" w:name="_Toc163637937"/>
      <w:r w:rsidRPr="005B2C1F">
        <w:rPr>
          <w:rFonts w:eastAsiaTheme="minorHAnsi" w:cs="Arial"/>
          <w:b w:val="0"/>
          <w:color w:val="000000"/>
          <w:sz w:val="22"/>
          <w:szCs w:val="22"/>
          <w:lang w:eastAsia="en-US"/>
        </w:rPr>
        <w:t>Cargo: …………………………………………</w:t>
      </w:r>
      <w:bookmarkEnd w:id="2"/>
    </w:p>
    <w:p w14:paraId="1B392AE0" w14:textId="77777777" w:rsidR="00D565AC" w:rsidRDefault="00D565AC" w:rsidP="00D565A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7B2E83C7" w14:textId="77777777" w:rsidR="00D565AC" w:rsidRDefault="00D565AC" w:rsidP="00D565A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4282502B" w14:textId="77777777" w:rsidR="00D565AC" w:rsidRDefault="00D565AC" w:rsidP="00D565A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1C4A6A99" w14:textId="77777777" w:rsidR="00D565AC" w:rsidRDefault="00D565AC" w:rsidP="00D565A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6DE8356A" w14:textId="77777777" w:rsidR="00D565AC" w:rsidRDefault="00D565AC" w:rsidP="00D565A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00560871" w14:textId="77777777" w:rsidR="00D565AC" w:rsidRDefault="00D565AC" w:rsidP="00D565A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7F8E7DEF" w14:textId="77777777" w:rsidR="00D565AC" w:rsidRDefault="00D565AC" w:rsidP="00D565A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noProof/>
          <w:color w:val="000000"/>
          <w:sz w:val="17"/>
          <w:szCs w:val="17"/>
        </w:rPr>
        <w:drawing>
          <wp:anchor distT="0" distB="0" distL="114300" distR="114300" simplePos="0" relativeHeight="251660288" behindDoc="0" locked="0" layoutInCell="1" allowOverlap="1" wp14:anchorId="3511CCEE" wp14:editId="06EF96A3">
            <wp:simplePos x="0" y="0"/>
            <wp:positionH relativeFrom="column">
              <wp:posOffset>3696</wp:posOffset>
            </wp:positionH>
            <wp:positionV relativeFrom="paragraph">
              <wp:posOffset>86203</wp:posOffset>
            </wp:positionV>
            <wp:extent cx="3504565" cy="45719"/>
            <wp:effectExtent l="0" t="0" r="0" b="0"/>
            <wp:wrapNone/>
            <wp:docPr id="142278157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846" cy="483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8824472" w14:textId="77777777" w:rsidR="00D565AC" w:rsidRDefault="00D565AC" w:rsidP="00D565A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58888CA0" w14:textId="77777777" w:rsidR="00D565AC" w:rsidRPr="007029B2" w:rsidRDefault="00D565AC" w:rsidP="00D565A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6D4225">
        <w:rPr>
          <w:sz w:val="18"/>
          <w:szCs w:val="18"/>
          <w:vertAlign w:val="superscript"/>
        </w:rPr>
        <w:t>3.</w:t>
      </w:r>
      <w:r w:rsidRPr="006D4225">
        <w:rPr>
          <w:sz w:val="18"/>
          <w:szCs w:val="18"/>
        </w:rPr>
        <w:t xml:space="preserve"> Estas declaraciones podrán obtenerse por las empresas en la sede de la AEAT en el siguiente enlace </w:t>
      </w:r>
      <w:proofErr w:type="gramStart"/>
      <w:r w:rsidRPr="006D4225">
        <w:rPr>
          <w:color w:val="0000FF"/>
          <w:sz w:val="18"/>
          <w:szCs w:val="18"/>
        </w:rPr>
        <w:t xml:space="preserve">https://sede.agen-ciatributaria.gob.es/Sede/tramitacion/G322.shtml </w:t>
      </w:r>
      <w:r w:rsidRPr="006D4225">
        <w:rPr>
          <w:sz w:val="18"/>
          <w:szCs w:val="18"/>
        </w:rPr>
        <w:t>.</w:t>
      </w:r>
      <w:proofErr w:type="gramEnd"/>
      <w:r w:rsidRPr="006D4225">
        <w:rPr>
          <w:sz w:val="18"/>
          <w:szCs w:val="18"/>
        </w:rPr>
        <w:t xml:space="preserve"> Si tienen dudas llamen al teléfono general de consultas de la Agencia Tributaria o al 060.  </w:t>
      </w:r>
    </w:p>
    <w:p w14:paraId="1606BB3E" w14:textId="0987AD58" w:rsidR="002E6383" w:rsidRPr="00497FFD" w:rsidRDefault="00D565AC" w:rsidP="00D565AC">
      <w:r w:rsidRPr="00005740">
        <w:t>DECLARACIÓN</w:t>
      </w:r>
    </w:p>
    <w:sectPr w:rsidR="002E6383" w:rsidRPr="00497FFD" w:rsidSect="002104FD">
      <w:headerReference w:type="default" r:id="rId12"/>
      <w:footerReference w:type="default" r:id="rId13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523C5" w14:textId="77777777" w:rsidR="00E23A65" w:rsidRDefault="00E23A65" w:rsidP="00881718">
      <w:pPr>
        <w:spacing w:after="0" w:line="240" w:lineRule="auto"/>
      </w:pPr>
      <w:r>
        <w:separator/>
      </w:r>
    </w:p>
  </w:endnote>
  <w:endnote w:type="continuationSeparator" w:id="0">
    <w:p w14:paraId="5F47DC9A" w14:textId="77777777" w:rsidR="00E23A65" w:rsidRDefault="00E23A65" w:rsidP="00881718">
      <w:pPr>
        <w:spacing w:after="0" w:line="240" w:lineRule="auto"/>
      </w:pPr>
      <w:r>
        <w:continuationSeparator/>
      </w:r>
    </w:p>
  </w:endnote>
  <w:endnote w:type="continuationNotice" w:id="1">
    <w:p w14:paraId="4E7CD756" w14:textId="77777777" w:rsidR="00E23A65" w:rsidRDefault="00E23A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dif Fago No 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289F5" w14:textId="77777777" w:rsidR="00E23A65" w:rsidRDefault="00E23A65" w:rsidP="00881718">
      <w:pPr>
        <w:spacing w:after="0" w:line="240" w:lineRule="auto"/>
      </w:pPr>
      <w:r>
        <w:separator/>
      </w:r>
    </w:p>
  </w:footnote>
  <w:footnote w:type="continuationSeparator" w:id="0">
    <w:p w14:paraId="1ACC8466" w14:textId="77777777" w:rsidR="00E23A65" w:rsidRDefault="00E23A65" w:rsidP="00881718">
      <w:pPr>
        <w:spacing w:after="0" w:line="240" w:lineRule="auto"/>
      </w:pPr>
      <w:r>
        <w:continuationSeparator/>
      </w:r>
    </w:p>
  </w:footnote>
  <w:footnote w:type="continuationNotice" w:id="1">
    <w:p w14:paraId="21CF2B28" w14:textId="77777777" w:rsidR="00E23A65" w:rsidRDefault="00E23A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4DC9" w14:textId="40A00FE6" w:rsidR="00DA3521" w:rsidRDefault="00DA3521" w:rsidP="00DA3521">
    <w:pPr>
      <w:pStyle w:val="Encabezado"/>
    </w:pPr>
  </w:p>
  <w:p w14:paraId="44F5D250" w14:textId="594AFB7B" w:rsidR="00DA3521" w:rsidRDefault="005E1941" w:rsidP="00DA3521">
    <w:pPr>
      <w:pStyle w:val="Encabezado"/>
      <w:ind w:left="-851"/>
    </w:pPr>
    <w:r>
      <w:rPr>
        <w:noProof/>
      </w:rPr>
      <w:drawing>
        <wp:anchor distT="0" distB="0" distL="114300" distR="114300" simplePos="0" relativeHeight="251658752" behindDoc="0" locked="0" layoutInCell="1" allowOverlap="1" wp14:anchorId="54D5F8D6" wp14:editId="759F48CA">
          <wp:simplePos x="0" y="0"/>
          <wp:positionH relativeFrom="column">
            <wp:posOffset>1943100</wp:posOffset>
          </wp:positionH>
          <wp:positionV relativeFrom="paragraph">
            <wp:posOffset>247650</wp:posOffset>
          </wp:positionV>
          <wp:extent cx="1450975" cy="384175"/>
          <wp:effectExtent l="0" t="0" r="0" b="0"/>
          <wp:wrapThrough wrapText="bothSides">
            <wp:wrapPolygon edited="0">
              <wp:start x="284" y="0"/>
              <wp:lineTo x="284" y="20350"/>
              <wp:lineTo x="20135" y="20350"/>
              <wp:lineTo x="20135" y="18208"/>
              <wp:lineTo x="21269" y="11782"/>
              <wp:lineTo x="20986" y="1071"/>
              <wp:lineTo x="16165" y="0"/>
              <wp:lineTo x="284" y="0"/>
            </wp:wrapPolygon>
          </wp:wrapThrough>
          <wp:docPr id="455968689" name="Imagen 1" descr="Interfaz de usuario gráfica,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968689" name="Imagen 1" descr="Interfaz de usuario gráfica, 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975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920" behindDoc="0" locked="0" layoutInCell="1" allowOverlap="1" wp14:anchorId="5DCCF07B" wp14:editId="3426AD45">
          <wp:simplePos x="0" y="0"/>
          <wp:positionH relativeFrom="column">
            <wp:posOffset>3446145</wp:posOffset>
          </wp:positionH>
          <wp:positionV relativeFrom="paragraph">
            <wp:posOffset>253365</wp:posOffset>
          </wp:positionV>
          <wp:extent cx="1706880" cy="384175"/>
          <wp:effectExtent l="0" t="0" r="0" b="0"/>
          <wp:wrapThrough wrapText="bothSides">
            <wp:wrapPolygon edited="0">
              <wp:start x="1205" y="0"/>
              <wp:lineTo x="482" y="8569"/>
              <wp:lineTo x="482" y="13924"/>
              <wp:lineTo x="1929" y="20350"/>
              <wp:lineTo x="7232" y="20350"/>
              <wp:lineTo x="15188" y="18208"/>
              <wp:lineTo x="14946" y="17137"/>
              <wp:lineTo x="21214" y="6426"/>
              <wp:lineTo x="20732" y="0"/>
              <wp:lineTo x="4821" y="0"/>
              <wp:lineTo x="1205" y="0"/>
            </wp:wrapPolygon>
          </wp:wrapThrough>
          <wp:docPr id="636938265" name="Imagen 2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6938265" name="Imagen 2" descr="Interfaz de usuario gráfic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A3521"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DA3521"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E4505F" id="Rectángulo 7" o:spid="_x0000_s1026" style="position:absolute;margin-left:70.1pt;margin-top:.25pt;width:121.3pt;height:10.45pt;z-index:251650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5124CE72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4274" w:hanging="360"/>
      </w:pPr>
    </w:lvl>
    <w:lvl w:ilvl="2" w:tplc="0C0A001B" w:tentative="1">
      <w:start w:val="1"/>
      <w:numFmt w:val="lowerRoman"/>
      <w:lvlText w:val="%3."/>
      <w:lvlJc w:val="right"/>
      <w:pPr>
        <w:ind w:left="4994" w:hanging="180"/>
      </w:pPr>
    </w:lvl>
    <w:lvl w:ilvl="3" w:tplc="0C0A000F" w:tentative="1">
      <w:start w:val="1"/>
      <w:numFmt w:val="decimal"/>
      <w:lvlText w:val="%4."/>
      <w:lvlJc w:val="left"/>
      <w:pPr>
        <w:ind w:left="5714" w:hanging="360"/>
      </w:pPr>
    </w:lvl>
    <w:lvl w:ilvl="4" w:tplc="0C0A0019" w:tentative="1">
      <w:start w:val="1"/>
      <w:numFmt w:val="lowerLetter"/>
      <w:lvlText w:val="%5."/>
      <w:lvlJc w:val="left"/>
      <w:pPr>
        <w:ind w:left="6434" w:hanging="360"/>
      </w:pPr>
    </w:lvl>
    <w:lvl w:ilvl="5" w:tplc="0C0A001B" w:tentative="1">
      <w:start w:val="1"/>
      <w:numFmt w:val="lowerRoman"/>
      <w:lvlText w:val="%6."/>
      <w:lvlJc w:val="right"/>
      <w:pPr>
        <w:ind w:left="7154" w:hanging="180"/>
      </w:pPr>
    </w:lvl>
    <w:lvl w:ilvl="6" w:tplc="0C0A000F" w:tentative="1">
      <w:start w:val="1"/>
      <w:numFmt w:val="decimal"/>
      <w:lvlText w:val="%7."/>
      <w:lvlJc w:val="left"/>
      <w:pPr>
        <w:ind w:left="7874" w:hanging="360"/>
      </w:pPr>
    </w:lvl>
    <w:lvl w:ilvl="7" w:tplc="0C0A0019" w:tentative="1">
      <w:start w:val="1"/>
      <w:numFmt w:val="lowerLetter"/>
      <w:lvlText w:val="%8."/>
      <w:lvlJc w:val="left"/>
      <w:pPr>
        <w:ind w:left="8594" w:hanging="360"/>
      </w:pPr>
    </w:lvl>
    <w:lvl w:ilvl="8" w:tplc="0C0A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1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9C6A1F"/>
    <w:multiLevelType w:val="hybridMultilevel"/>
    <w:tmpl w:val="11565EB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1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4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64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4"/>
  </w:num>
  <w:num w:numId="2" w16cid:durableId="2144229452">
    <w:abstractNumId w:val="1"/>
  </w:num>
  <w:num w:numId="3" w16cid:durableId="1414015083">
    <w:abstractNumId w:val="30"/>
  </w:num>
  <w:num w:numId="4" w16cid:durableId="14427211">
    <w:abstractNumId w:val="0"/>
  </w:num>
  <w:num w:numId="5" w16cid:durableId="1094933234">
    <w:abstractNumId w:val="21"/>
  </w:num>
  <w:num w:numId="6" w16cid:durableId="1627664531">
    <w:abstractNumId w:val="28"/>
  </w:num>
  <w:num w:numId="7" w16cid:durableId="1227841599">
    <w:abstractNumId w:val="18"/>
  </w:num>
  <w:num w:numId="8" w16cid:durableId="1998268991">
    <w:abstractNumId w:val="25"/>
  </w:num>
  <w:num w:numId="9" w16cid:durableId="960768208">
    <w:abstractNumId w:val="4"/>
  </w:num>
  <w:num w:numId="10" w16cid:durableId="542715183">
    <w:abstractNumId w:val="10"/>
  </w:num>
  <w:num w:numId="11" w16cid:durableId="1790006776">
    <w:abstractNumId w:val="11"/>
  </w:num>
  <w:num w:numId="12" w16cid:durableId="441456802">
    <w:abstractNumId w:val="15"/>
  </w:num>
  <w:num w:numId="13" w16cid:durableId="386492893">
    <w:abstractNumId w:val="24"/>
  </w:num>
  <w:num w:numId="14" w16cid:durableId="1528447206">
    <w:abstractNumId w:val="23"/>
  </w:num>
  <w:num w:numId="15" w16cid:durableId="1194685925">
    <w:abstractNumId w:val="29"/>
  </w:num>
  <w:num w:numId="16" w16cid:durableId="280109329">
    <w:abstractNumId w:val="13"/>
  </w:num>
  <w:num w:numId="17" w16cid:durableId="1455638094">
    <w:abstractNumId w:val="6"/>
  </w:num>
  <w:num w:numId="18" w16cid:durableId="112599703">
    <w:abstractNumId w:val="26"/>
  </w:num>
  <w:num w:numId="19" w16cid:durableId="2118287356">
    <w:abstractNumId w:val="16"/>
  </w:num>
  <w:num w:numId="20" w16cid:durableId="1724527386">
    <w:abstractNumId w:val="3"/>
  </w:num>
  <w:num w:numId="21" w16cid:durableId="849368021">
    <w:abstractNumId w:val="9"/>
  </w:num>
  <w:num w:numId="22" w16cid:durableId="451827592">
    <w:abstractNumId w:val="5"/>
  </w:num>
  <w:num w:numId="23" w16cid:durableId="2112775362">
    <w:abstractNumId w:val="7"/>
  </w:num>
  <w:num w:numId="24" w16cid:durableId="1713268387">
    <w:abstractNumId w:val="8"/>
  </w:num>
  <w:num w:numId="25" w16cid:durableId="1113213036">
    <w:abstractNumId w:val="12"/>
  </w:num>
  <w:num w:numId="26" w16cid:durableId="824592582">
    <w:abstractNumId w:val="20"/>
  </w:num>
  <w:num w:numId="27" w16cid:durableId="1970239564">
    <w:abstractNumId w:val="22"/>
  </w:num>
  <w:num w:numId="28" w16cid:durableId="2131898059">
    <w:abstractNumId w:val="19"/>
  </w:num>
  <w:num w:numId="29" w16cid:durableId="1051224879">
    <w:abstractNumId w:val="2"/>
  </w:num>
  <w:num w:numId="30" w16cid:durableId="749885964">
    <w:abstractNumId w:val="17"/>
  </w:num>
  <w:num w:numId="31" w16cid:durableId="8649049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84EA5"/>
    <w:rsid w:val="000D034B"/>
    <w:rsid w:val="000F0074"/>
    <w:rsid w:val="002104FD"/>
    <w:rsid w:val="002A0812"/>
    <w:rsid w:val="002E6383"/>
    <w:rsid w:val="00385B55"/>
    <w:rsid w:val="004146C0"/>
    <w:rsid w:val="00432126"/>
    <w:rsid w:val="00473F99"/>
    <w:rsid w:val="00497FFD"/>
    <w:rsid w:val="004A082F"/>
    <w:rsid w:val="004B6C5D"/>
    <w:rsid w:val="005A56AD"/>
    <w:rsid w:val="005D1662"/>
    <w:rsid w:val="005E1941"/>
    <w:rsid w:val="00646D09"/>
    <w:rsid w:val="00656BC1"/>
    <w:rsid w:val="00680823"/>
    <w:rsid w:val="006A7CBF"/>
    <w:rsid w:val="006C648E"/>
    <w:rsid w:val="006D1EFC"/>
    <w:rsid w:val="00702AF2"/>
    <w:rsid w:val="00723DF9"/>
    <w:rsid w:val="007827C2"/>
    <w:rsid w:val="007A7FAF"/>
    <w:rsid w:val="007D78F3"/>
    <w:rsid w:val="0086772A"/>
    <w:rsid w:val="00881718"/>
    <w:rsid w:val="00883151"/>
    <w:rsid w:val="008904D5"/>
    <w:rsid w:val="008F5A0F"/>
    <w:rsid w:val="00907C43"/>
    <w:rsid w:val="00917CE8"/>
    <w:rsid w:val="00A60CEC"/>
    <w:rsid w:val="00AC7DDA"/>
    <w:rsid w:val="00B33D62"/>
    <w:rsid w:val="00B8316D"/>
    <w:rsid w:val="00BB4F19"/>
    <w:rsid w:val="00C10DC6"/>
    <w:rsid w:val="00C15663"/>
    <w:rsid w:val="00C23D6F"/>
    <w:rsid w:val="00C92324"/>
    <w:rsid w:val="00CA1B15"/>
    <w:rsid w:val="00CB00D8"/>
    <w:rsid w:val="00CD1DFF"/>
    <w:rsid w:val="00D22415"/>
    <w:rsid w:val="00D43071"/>
    <w:rsid w:val="00D565AC"/>
    <w:rsid w:val="00D74FEA"/>
    <w:rsid w:val="00D90820"/>
    <w:rsid w:val="00DA2192"/>
    <w:rsid w:val="00DA3521"/>
    <w:rsid w:val="00E23A65"/>
    <w:rsid w:val="00E4789B"/>
    <w:rsid w:val="00E61DE2"/>
    <w:rsid w:val="00EE43A7"/>
    <w:rsid w:val="00EE69E6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Bullet List,FooterText,numbered,List Paragraph1,Paragraphe de liste1,Bulletr List Paragraph,列出段落,列出段落1,List Paragraph2,List Paragraph21,Listeafsnit1,Parágrafo da Lista1,Bullet list,リスト段落1,List Paragraph11,List,Liste 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Bullet List Car,FooterText Car,numbered Car,List Paragraph1 Car,Paragraphe de liste1 Car,Bulletr List Paragraph Car,列出段落 Car,列出段落1 Car,List Paragraph2 Car,List Paragraph21 Car,Listeafsnit1 Car,Parágrafo da Lista1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  <w:style w:type="paragraph" w:customStyle="1" w:styleId="Clausulado-Anexo">
    <w:name w:val="Clausulado-Anexo"/>
    <w:basedOn w:val="Ttulo1"/>
    <w:qFormat/>
    <w:rsid w:val="007A7FAF"/>
    <w:pPr>
      <w:keepLines/>
      <w:numPr>
        <w:numId w:val="31"/>
      </w:numPr>
      <w:tabs>
        <w:tab w:val="clear" w:pos="709"/>
      </w:tabs>
      <w:spacing w:before="360" w:after="240" w:line="288" w:lineRule="auto"/>
      <w:ind w:left="357" w:hanging="357"/>
      <w:jc w:val="center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7" ma:contentTypeDescription="Create a new document." ma:contentTypeScope="" ma:versionID="a895d2de5aa85add8cae89b5516cabf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452b7424d2c718630ddfd89214f72e44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2.xml><?xml version="1.0" encoding="utf-8"?>
<ds:datastoreItem xmlns:ds="http://schemas.openxmlformats.org/officeDocument/2006/customXml" ds:itemID="{79D0065A-DC15-4B6E-9A60-42A5726FA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986ee4-dca3-4bea-bba6-b847c8339c61"/>
    <ds:schemaRef ds:uri="981edaab-a11c-4c51-8031-13fbf6c08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886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Carlos Jose Ferrero Ros</cp:lastModifiedBy>
  <cp:revision>4</cp:revision>
  <dcterms:created xsi:type="dcterms:W3CDTF">2024-07-29T08:46:00Z</dcterms:created>
  <dcterms:modified xsi:type="dcterms:W3CDTF">2024-10-16T09:41:00Z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